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03" w:rsidRDefault="00034303" w:rsidP="007C7244"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0</wp:posOffset>
            </wp:positionV>
            <wp:extent cx="2642400" cy="536400"/>
            <wp:effectExtent l="0" t="0" r="0" b="0"/>
            <wp:wrapTight wrapText="bothSides">
              <wp:wrapPolygon edited="0">
                <wp:start x="10434" y="2303"/>
                <wp:lineTo x="311" y="6910"/>
                <wp:lineTo x="311" y="15355"/>
                <wp:lineTo x="623" y="19962"/>
                <wp:lineTo x="20245" y="19962"/>
                <wp:lineTo x="20557" y="16891"/>
                <wp:lineTo x="21335" y="15355"/>
                <wp:lineTo x="21335" y="6910"/>
                <wp:lineTo x="11213" y="2303"/>
                <wp:lineTo x="10434" y="2303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ficare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4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A0" w:rsidRDefault="006D6AA0" w:rsidP="007C7244">
      <w:bookmarkStart w:id="0" w:name="_GoBack"/>
      <w:bookmarkEnd w:id="0"/>
    </w:p>
    <w:p w:rsidR="007C7244" w:rsidRPr="00397217" w:rsidRDefault="007C7244" w:rsidP="007C7244">
      <w:pPr>
        <w:pStyle w:val="Styl2"/>
        <w:jc w:val="both"/>
        <w:rPr>
          <w:rFonts w:asciiTheme="majorHAnsi" w:hAnsiTheme="majorHAnsi"/>
          <w:sz w:val="16"/>
          <w:szCs w:val="16"/>
        </w:rPr>
      </w:pPr>
      <w:proofErr w:type="gramStart"/>
      <w:r w:rsidRPr="00397217">
        <w:rPr>
          <w:rFonts w:asciiTheme="majorHAnsi" w:hAnsiTheme="majorHAnsi"/>
          <w:sz w:val="16"/>
          <w:szCs w:val="16"/>
        </w:rPr>
        <w:t xml:space="preserve">cz                                                                      </w:t>
      </w:r>
      <w:r w:rsidR="00ED32C6" w:rsidRPr="00397217">
        <w:rPr>
          <w:rFonts w:asciiTheme="majorHAnsi" w:hAnsiTheme="majorHAnsi"/>
          <w:sz w:val="16"/>
          <w:szCs w:val="16"/>
        </w:rPr>
        <w:t xml:space="preserve">    </w:t>
      </w:r>
      <w:r w:rsidRPr="00397217">
        <w:rPr>
          <w:rFonts w:asciiTheme="majorHAnsi" w:hAnsiTheme="majorHAnsi"/>
          <w:sz w:val="16"/>
          <w:szCs w:val="16"/>
        </w:rPr>
        <w:t>návod</w:t>
      </w:r>
      <w:proofErr w:type="gramEnd"/>
      <w:r w:rsidRPr="00397217">
        <w:rPr>
          <w:rFonts w:asciiTheme="majorHAnsi" w:hAnsiTheme="majorHAnsi"/>
          <w:sz w:val="16"/>
          <w:szCs w:val="16"/>
        </w:rPr>
        <w:t xml:space="preserve"> k použití</w:t>
      </w:r>
    </w:p>
    <w:p w:rsidR="007C7244" w:rsidRDefault="006B7AA3" w:rsidP="007C7244">
      <w:pPr>
        <w:rPr>
          <w:b/>
          <w:sz w:val="32"/>
          <w:szCs w:val="32"/>
        </w:rPr>
      </w:pPr>
      <w:r>
        <w:rPr>
          <w:b/>
          <w:sz w:val="32"/>
          <w:szCs w:val="32"/>
        </w:rPr>
        <w:t>EZ</w:t>
      </w:r>
      <w:r w:rsidR="00A56931">
        <w:rPr>
          <w:b/>
          <w:sz w:val="32"/>
          <w:szCs w:val="32"/>
        </w:rPr>
        <w:t xml:space="preserve">S </w:t>
      </w:r>
      <w:r w:rsidR="00380E43">
        <w:rPr>
          <w:b/>
          <w:sz w:val="32"/>
          <w:szCs w:val="32"/>
        </w:rPr>
        <w:t>3000</w:t>
      </w:r>
      <w:r>
        <w:rPr>
          <w:b/>
          <w:sz w:val="32"/>
          <w:szCs w:val="32"/>
        </w:rPr>
        <w:t xml:space="preserve"> – elektrický zubní kartáček</w:t>
      </w:r>
    </w:p>
    <w:p w:rsidR="006B7AA3" w:rsidRPr="00397217" w:rsidRDefault="00397217" w:rsidP="00397217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164465</wp:posOffset>
            </wp:positionV>
            <wp:extent cx="723600" cy="2872800"/>
            <wp:effectExtent l="0" t="0" r="635" b="3810"/>
            <wp:wrapTight wrapText="bothSides">
              <wp:wrapPolygon edited="0">
                <wp:start x="0" y="0"/>
                <wp:lineTo x="0" y="21485"/>
                <wp:lineTo x="21050" y="21485"/>
                <wp:lineTo x="21050" y="0"/>
                <wp:lineTo x="0" y="0"/>
              </wp:wrapPolygon>
            </wp:wrapTight>
            <wp:docPr id="3" name="Obrázek 3" descr="C:\Users\Sindy24\Desktop\PC-EZS 300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dy24\Desktop\PC-EZS 3000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28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E1C" w:rsidRPr="002216BC" w:rsidRDefault="00C51E1C" w:rsidP="00C51E1C">
      <w:pPr>
        <w:spacing w:after="0"/>
        <w:rPr>
          <w:rFonts w:eastAsia="NimbusSanLOT-Reg" w:cstheme="minorHAnsi"/>
          <w:b/>
          <w:sz w:val="20"/>
          <w:szCs w:val="20"/>
        </w:rPr>
      </w:pPr>
      <w:r w:rsidRPr="002216BC">
        <w:rPr>
          <w:rFonts w:eastAsia="NimbusSanLOT-Reg" w:cstheme="minorHAnsi"/>
          <w:b/>
          <w:sz w:val="20"/>
          <w:szCs w:val="20"/>
        </w:rPr>
        <w:t>Bezpečnostní upozornění</w:t>
      </w:r>
    </w:p>
    <w:p w:rsidR="00C51E1C" w:rsidRPr="002216BC" w:rsidRDefault="00C51E1C" w:rsidP="00C51E1C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Před uvedením tohoto přístroje do provozu si velmi pozorně přečtěte návod k obsluze a tento návod spolu se záručním listem, pokladním blokem a podle možností i s obalem a vnitřním vybavením obalu dobře uschovejte.</w:t>
      </w:r>
    </w:p>
    <w:p w:rsidR="00C51E1C" w:rsidRPr="002216BC" w:rsidRDefault="00C51E1C" w:rsidP="00C51E1C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• Používejte tento přístroj výlučně pro soukromou potřebu a pro stanovené účely. Tento přístroj není určen pro komerční použití. Nepoužívejte jej v otevřeném prostoru (s výjimkou přístrojů, které jsou podmíněné používání venku určeny). Chraňte jej před horkem, přímým slunečním zářením, vlhkostí (v žádném případě jej neponořujte do kapalin) a stykem s ostrými hranami. Nepoužívejte přístroj v případě, že máte vlhké ruce. Jestliže dojde k navlhčení nebo namočení přístroje, okamžitě vytáhněte zástrčku ze zásuvky. Vyvarujte se styku s vodou.</w:t>
      </w:r>
    </w:p>
    <w:p w:rsidR="00C51E1C" w:rsidRPr="002216BC" w:rsidRDefault="00C51E1C" w:rsidP="00C51E1C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• Přístroj vypněte a vždy vytáhněte zástrčku ze zásuvky (tahejte jen za zástrčku, nikdy ne za kabel), jestliže nebudete přístroj používat, chcete-li namontovat příslušenství, přístroj vyčistit nebo v případě poruchy.</w:t>
      </w:r>
    </w:p>
    <w:p w:rsidR="00C51E1C" w:rsidRPr="002216BC" w:rsidRDefault="00C51E1C" w:rsidP="00C51E1C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• Nikdy nenechávejte přístroj bez dozoru, jestliže je v provozu. Abyste ochránili děti před riziky spojenými s elektrickými přístroji, postarejte se o to, aby kabel nevisel dolů a děti na přístroj nedosáhly.</w:t>
      </w:r>
    </w:p>
    <w:p w:rsidR="00C51E1C" w:rsidRPr="002216BC" w:rsidRDefault="00C51E1C" w:rsidP="00C51E1C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• Pravidelně kontrolujte přístroj a přívodní kabel z hlediska poškození. Jestliže přístroj vykazuje nějakou závadu, neuvádějte jej do provozu.</w:t>
      </w:r>
    </w:p>
    <w:p w:rsidR="00C51E1C" w:rsidRPr="002216BC" w:rsidRDefault="00C51E1C" w:rsidP="00C51E1C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• Neopravujte přístroj vlastními silami, nýbrž vyhledejte autorizovaného opraváře. Abyste eliminovali rizika, nechejte poškozený přívodní kabel nahradit kabelem se stejnými hodnotami a to jen výrobcem, naším servisem pro zákazníky nebo jinou kvalifikovanou osobou.</w:t>
      </w:r>
    </w:p>
    <w:p w:rsidR="00C51E1C" w:rsidRPr="002216BC" w:rsidRDefault="00C51E1C" w:rsidP="00C51E1C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• Používejte jen originální příslušenství.</w:t>
      </w:r>
    </w:p>
    <w:p w:rsidR="00C51E1C" w:rsidRPr="002216BC" w:rsidRDefault="00C51E1C" w:rsidP="00C51E1C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• Respektujte, prosím, následující „Speciální bezpečnostní pokyny ...“.</w:t>
      </w:r>
    </w:p>
    <w:p w:rsidR="00C51E1C" w:rsidRPr="002216BC" w:rsidRDefault="00C51E1C" w:rsidP="00C51E1C">
      <w:pPr>
        <w:autoSpaceDE w:val="0"/>
        <w:autoSpaceDN w:val="0"/>
        <w:adjustRightInd w:val="0"/>
        <w:spacing w:after="0" w:line="240" w:lineRule="auto"/>
        <w:rPr>
          <w:rFonts w:cs="PragmaticaE-Bold"/>
          <w:b/>
          <w:bCs/>
          <w:sz w:val="20"/>
          <w:szCs w:val="20"/>
        </w:rPr>
      </w:pPr>
    </w:p>
    <w:p w:rsidR="00C51E1C" w:rsidRPr="002216BC" w:rsidRDefault="00C51E1C" w:rsidP="00C51E1C">
      <w:pPr>
        <w:autoSpaceDE w:val="0"/>
        <w:autoSpaceDN w:val="0"/>
        <w:adjustRightInd w:val="0"/>
        <w:spacing w:after="0" w:line="240" w:lineRule="auto"/>
        <w:rPr>
          <w:rFonts w:cs="PragmaticaE-Bold"/>
          <w:b/>
          <w:bCs/>
          <w:sz w:val="20"/>
          <w:szCs w:val="20"/>
        </w:rPr>
      </w:pPr>
      <w:r w:rsidRPr="002216BC">
        <w:rPr>
          <w:rFonts w:cs="PragmaticaE-Bold"/>
          <w:b/>
          <w:bCs/>
          <w:sz w:val="20"/>
          <w:szCs w:val="20"/>
        </w:rPr>
        <w:t>Speciální bezpečnostní pokyny</w:t>
      </w:r>
    </w:p>
    <w:p w:rsidR="00A676D4" w:rsidRPr="00397217" w:rsidRDefault="00C51E1C" w:rsidP="00397217">
      <w:pPr>
        <w:spacing w:after="0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• Nikdy neponořujte přístroj do vody.</w:t>
      </w:r>
    </w:p>
    <w:p w:rsidR="00380E43" w:rsidRDefault="00380E43" w:rsidP="00C51E1C">
      <w:pPr>
        <w:rPr>
          <w:sz w:val="20"/>
          <w:szCs w:val="20"/>
        </w:rPr>
      </w:pPr>
      <w:r>
        <w:rPr>
          <w:sz w:val="20"/>
          <w:szCs w:val="20"/>
        </w:rPr>
        <w:t>Vložení bateri</w:t>
      </w:r>
      <w:r w:rsidR="007250E3">
        <w:rPr>
          <w:sz w:val="20"/>
          <w:szCs w:val="20"/>
        </w:rPr>
        <w:t>e</w:t>
      </w:r>
    </w:p>
    <w:p w:rsidR="00380E43" w:rsidRDefault="00380E43" w:rsidP="00380E43">
      <w:pPr>
        <w:pStyle w:val="Odstavecseseznamem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7250E3">
        <w:rPr>
          <w:sz w:val="20"/>
          <w:szCs w:val="20"/>
        </w:rPr>
        <w:t>tevřete přihrádku na baterii. Otočte ve směru hodinových ručiček.</w:t>
      </w:r>
    </w:p>
    <w:p w:rsidR="007250E3" w:rsidRDefault="007250E3" w:rsidP="00380E43">
      <w:pPr>
        <w:pStyle w:val="Odstavecseseznamem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Vložte 1 baterii typu AAA/R03. Zkontrolujte polaritu. </w:t>
      </w:r>
    </w:p>
    <w:p w:rsidR="007250E3" w:rsidRDefault="007250E3" w:rsidP="00380E43">
      <w:pPr>
        <w:pStyle w:val="Odstavecseseznamem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Zavřete přihrádku na baterii. Otočte proti směru hodinových ručiček. </w:t>
      </w:r>
    </w:p>
    <w:p w:rsidR="007250E3" w:rsidRDefault="007250E3" w:rsidP="007250E3">
      <w:pPr>
        <w:rPr>
          <w:sz w:val="20"/>
          <w:szCs w:val="20"/>
        </w:rPr>
      </w:pPr>
      <w:r>
        <w:rPr>
          <w:sz w:val="20"/>
          <w:szCs w:val="20"/>
        </w:rPr>
        <w:t xml:space="preserve">Používání </w:t>
      </w:r>
    </w:p>
    <w:p w:rsidR="007250E3" w:rsidRDefault="007250E3" w:rsidP="007250E3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2216BC">
        <w:rPr>
          <w:sz w:val="20"/>
          <w:szCs w:val="20"/>
        </w:rPr>
        <w:t>Nasaďte kartáček na tělo přístroje a pootočte</w:t>
      </w:r>
      <w:r>
        <w:rPr>
          <w:sz w:val="20"/>
          <w:szCs w:val="20"/>
        </w:rPr>
        <w:t xml:space="preserve"> ve směru hodinových ručiček.</w:t>
      </w:r>
      <w:r w:rsidRPr="002216BC">
        <w:rPr>
          <w:sz w:val="20"/>
          <w:szCs w:val="20"/>
        </w:rPr>
        <w:t xml:space="preserve"> </w:t>
      </w:r>
    </w:p>
    <w:p w:rsidR="007250E3" w:rsidRDefault="007250E3" w:rsidP="007250E3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2216BC">
        <w:rPr>
          <w:sz w:val="20"/>
          <w:szCs w:val="20"/>
        </w:rPr>
        <w:t>Namočte nástavec kartáčku a naneste pastu na zuby.</w:t>
      </w:r>
    </w:p>
    <w:p w:rsidR="007250E3" w:rsidRDefault="007250E3" w:rsidP="007250E3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2216BC">
        <w:rPr>
          <w:sz w:val="20"/>
          <w:szCs w:val="20"/>
        </w:rPr>
        <w:t>Vypláchněte si pusu vodou.</w:t>
      </w:r>
    </w:p>
    <w:p w:rsidR="007250E3" w:rsidRDefault="007250E3" w:rsidP="007250E3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2216BC">
        <w:rPr>
          <w:sz w:val="20"/>
          <w:szCs w:val="20"/>
        </w:rPr>
        <w:t xml:space="preserve">Přístroj zapněte až po vložení kartáček do úst, </w:t>
      </w:r>
      <w:proofErr w:type="gramStart"/>
      <w:r w:rsidRPr="002216BC">
        <w:rPr>
          <w:sz w:val="20"/>
          <w:szCs w:val="20"/>
        </w:rPr>
        <w:t>aby jste předešli</w:t>
      </w:r>
      <w:proofErr w:type="gramEnd"/>
      <w:r w:rsidRPr="002216BC">
        <w:rPr>
          <w:sz w:val="20"/>
          <w:szCs w:val="20"/>
        </w:rPr>
        <w:t xml:space="preserve"> potřísnění vodou.</w:t>
      </w:r>
    </w:p>
    <w:p w:rsidR="007250E3" w:rsidRDefault="00034303" w:rsidP="007250E3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 w:rsidRPr="002216BC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5408" behindDoc="1" locked="0" layoutInCell="1" allowOverlap="1" wp14:anchorId="64D6B1E8" wp14:editId="1B7404D3">
            <wp:simplePos x="0" y="0"/>
            <wp:positionH relativeFrom="column">
              <wp:posOffset>1439545</wp:posOffset>
            </wp:positionH>
            <wp:positionV relativeFrom="paragraph">
              <wp:posOffset>182245</wp:posOffset>
            </wp:positionV>
            <wp:extent cx="27622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0855" y="20571"/>
                <wp:lineTo x="20855" y="0"/>
                <wp:lineTo x="0" y="0"/>
              </wp:wrapPolygon>
            </wp:wrapTight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0E3" w:rsidRPr="002216BC">
        <w:rPr>
          <w:sz w:val="20"/>
          <w:szCs w:val="20"/>
        </w:rPr>
        <w:t>Pohybujte kartáčkem pomalu v ústech.</w:t>
      </w:r>
      <w:r w:rsidR="007250E3">
        <w:rPr>
          <w:sz w:val="20"/>
          <w:szCs w:val="20"/>
        </w:rPr>
        <w:t xml:space="preserve"> Zubaři doporučují si čistit zuby po dobu 2 min. </w:t>
      </w:r>
    </w:p>
    <w:p w:rsidR="00380E43" w:rsidRPr="00034303" w:rsidRDefault="007250E3" w:rsidP="00C51E1C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Vypněte přístroj. </w:t>
      </w:r>
    </w:p>
    <w:p w:rsidR="00031052" w:rsidRDefault="00031052" w:rsidP="00031052">
      <w:pPr>
        <w:rPr>
          <w:sz w:val="20"/>
          <w:szCs w:val="20"/>
        </w:rPr>
      </w:pPr>
      <w:r>
        <w:rPr>
          <w:sz w:val="20"/>
          <w:szCs w:val="20"/>
        </w:rPr>
        <w:t xml:space="preserve">Náhradní nástavce na kartáček </w:t>
      </w:r>
    </w:p>
    <w:p w:rsidR="00031052" w:rsidRDefault="00031052" w:rsidP="00031052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Doporučujeme při každodenním použití vyměnit nástavec po 2 měsících pro optimální čistící účinek.</w:t>
      </w:r>
    </w:p>
    <w:p w:rsidR="006B6BBE" w:rsidRPr="002216BC" w:rsidRDefault="006B6BBE" w:rsidP="006B6BBE">
      <w:pPr>
        <w:spacing w:after="0"/>
        <w:rPr>
          <w:rFonts w:eastAsia="NimbusSanLOT-Reg" w:cstheme="minorHAnsi"/>
          <w:b/>
          <w:sz w:val="20"/>
          <w:szCs w:val="20"/>
        </w:rPr>
      </w:pPr>
      <w:r w:rsidRPr="002216BC">
        <w:rPr>
          <w:rFonts w:eastAsia="NimbusSanLOT-Reg" w:cstheme="minorHAnsi"/>
          <w:b/>
          <w:sz w:val="20"/>
          <w:szCs w:val="20"/>
        </w:rPr>
        <w:t>Čištění</w:t>
      </w:r>
    </w:p>
    <w:p w:rsidR="006B6BBE" w:rsidRPr="002216BC" w:rsidRDefault="006B6BBE" w:rsidP="006B6BBE">
      <w:pPr>
        <w:spacing w:after="0"/>
        <w:rPr>
          <w:rFonts w:eastAsia="NimbusSanLOT-Reg" w:cstheme="minorHAnsi"/>
          <w:b/>
          <w:sz w:val="20"/>
          <w:szCs w:val="20"/>
        </w:rPr>
      </w:pPr>
      <w:r w:rsidRPr="002216BC">
        <w:rPr>
          <w:rFonts w:eastAsia="NimbusSanLOT-Reg" w:cstheme="minorHAnsi"/>
          <w:b/>
          <w:sz w:val="20"/>
          <w:szCs w:val="20"/>
        </w:rPr>
        <w:t>UPOZORNĚNÍ:</w:t>
      </w:r>
    </w:p>
    <w:p w:rsidR="006B6BBE" w:rsidRPr="002216BC" w:rsidRDefault="006B6BBE" w:rsidP="006B6BBE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Stáhněte hlavici kartáčku dolů. Netahejte za kartáček samotným</w:t>
      </w:r>
      <w:r w:rsidR="00031052">
        <w:rPr>
          <w:rFonts w:cs="PragmaticaE"/>
          <w:sz w:val="20"/>
          <w:szCs w:val="20"/>
        </w:rPr>
        <w:t xml:space="preserve">, nýbrž za spodní díl nástavce </w:t>
      </w:r>
      <w:r w:rsidRPr="002216BC">
        <w:rPr>
          <w:rFonts w:cs="PragmaticaE"/>
          <w:sz w:val="20"/>
          <w:szCs w:val="20"/>
        </w:rPr>
        <w:t>a vyčistěte jej pod tekoucí vodou! K čištění hlavy kartáčku nepoužívejte žádné přísady!</w:t>
      </w:r>
    </w:p>
    <w:p w:rsidR="006B6BBE" w:rsidRPr="002216BC" w:rsidRDefault="006B6BBE" w:rsidP="006B6BBE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• Přístroj je vodotěsný a lze jej čistit pod tekoucí vodou! Nikdy tento komplet neponořujte do vody.</w:t>
      </w:r>
    </w:p>
    <w:p w:rsidR="006B6BBE" w:rsidRPr="002216BC" w:rsidRDefault="006B6BBE" w:rsidP="006B6BBE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• K čištění nepoužívejte žádné drsné čistící prostředky! Mohlo by dojít k poškození těsnění a pouzdra přístroje!</w:t>
      </w:r>
    </w:p>
    <w:p w:rsidR="006B6BBE" w:rsidRPr="002216BC" w:rsidRDefault="006B6BBE" w:rsidP="006B6BBE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>• K čištění přístroje můžete používat také běžný mýdlový louh.</w:t>
      </w:r>
    </w:p>
    <w:p w:rsidR="006B6BBE" w:rsidRPr="002216BC" w:rsidRDefault="006B6BBE" w:rsidP="006B6BBE">
      <w:pPr>
        <w:autoSpaceDE w:val="0"/>
        <w:autoSpaceDN w:val="0"/>
        <w:adjustRightInd w:val="0"/>
        <w:spacing w:after="0" w:line="240" w:lineRule="auto"/>
        <w:rPr>
          <w:rFonts w:cs="PragmaticaE"/>
          <w:sz w:val="20"/>
          <w:szCs w:val="20"/>
        </w:rPr>
      </w:pPr>
      <w:r w:rsidRPr="002216BC">
        <w:rPr>
          <w:rFonts w:cs="PragmaticaE"/>
          <w:sz w:val="20"/>
          <w:szCs w:val="20"/>
        </w:rPr>
        <w:t xml:space="preserve">• </w:t>
      </w:r>
      <w:r w:rsidR="00AE4D4C">
        <w:rPr>
          <w:rFonts w:cs="PragmaticaE"/>
          <w:sz w:val="20"/>
          <w:szCs w:val="20"/>
        </w:rPr>
        <w:t xml:space="preserve">Kovový spoj na elektrickém zubním kartáčku by se měl každý týden umýt teplou vodou. </w:t>
      </w:r>
    </w:p>
    <w:p w:rsidR="006B6BBE" w:rsidRPr="002216BC" w:rsidRDefault="006B6BBE" w:rsidP="006B6BBE">
      <w:pPr>
        <w:spacing w:after="0"/>
        <w:rPr>
          <w:rFonts w:eastAsia="NimbusSanLOT-Reg" w:cstheme="minorHAnsi"/>
          <w:sz w:val="20"/>
          <w:szCs w:val="20"/>
        </w:rPr>
      </w:pPr>
    </w:p>
    <w:p w:rsidR="006B6BBE" w:rsidRPr="002216BC" w:rsidRDefault="006B6BBE" w:rsidP="006B6BBE">
      <w:pPr>
        <w:spacing w:after="0"/>
        <w:rPr>
          <w:rFonts w:eastAsia="NimbusSanLOT-Reg" w:cstheme="minorHAnsi"/>
          <w:sz w:val="20"/>
          <w:szCs w:val="20"/>
        </w:rPr>
      </w:pPr>
      <w:r w:rsidRPr="002216BC">
        <w:rPr>
          <w:rFonts w:eastAsia="NimbusSanLOT-Reg" w:cstheme="minorHAnsi"/>
          <w:sz w:val="20"/>
          <w:szCs w:val="20"/>
        </w:rPr>
        <w:t>1. Vypněte přístroj před čištěním.</w:t>
      </w:r>
    </w:p>
    <w:p w:rsidR="006B6BBE" w:rsidRPr="002216BC" w:rsidRDefault="006B6BBE" w:rsidP="006B6BBE">
      <w:pPr>
        <w:spacing w:after="0"/>
        <w:rPr>
          <w:rFonts w:eastAsia="NimbusSanLOT-Reg" w:cstheme="minorHAnsi"/>
          <w:sz w:val="20"/>
          <w:szCs w:val="20"/>
        </w:rPr>
      </w:pPr>
      <w:r w:rsidRPr="002216BC">
        <w:rPr>
          <w:rFonts w:eastAsia="NimbusSanLOT-Reg" w:cstheme="minorHAnsi"/>
          <w:sz w:val="20"/>
          <w:szCs w:val="20"/>
        </w:rPr>
        <w:t>2. Kryt přístroje můžete otřít vlhkým hadříkem.</w:t>
      </w:r>
    </w:p>
    <w:p w:rsidR="006B6BBE" w:rsidRPr="002216BC" w:rsidRDefault="006B6BBE" w:rsidP="006B6BBE">
      <w:pPr>
        <w:spacing w:after="0"/>
        <w:rPr>
          <w:rFonts w:eastAsia="NimbusSanLOT-Reg" w:cstheme="minorHAnsi"/>
          <w:sz w:val="20"/>
          <w:szCs w:val="20"/>
        </w:rPr>
      </w:pPr>
      <w:r w:rsidRPr="002216BC">
        <w:rPr>
          <w:rFonts w:eastAsia="NimbusSanLOT-Reg" w:cstheme="minorHAnsi"/>
          <w:sz w:val="20"/>
          <w:szCs w:val="20"/>
        </w:rPr>
        <w:t xml:space="preserve">3. Sejměte hlavu kartáčku a vyčistěte jej pod tekoucí vodou. </w:t>
      </w:r>
    </w:p>
    <w:p w:rsidR="006B6BBE" w:rsidRPr="002216BC" w:rsidRDefault="006B6BBE" w:rsidP="006B6BBE">
      <w:pPr>
        <w:rPr>
          <w:sz w:val="20"/>
          <w:szCs w:val="20"/>
        </w:rPr>
      </w:pPr>
    </w:p>
    <w:p w:rsidR="002216BC" w:rsidRPr="009D2CB5" w:rsidRDefault="002216BC" w:rsidP="002216BC">
      <w:pPr>
        <w:autoSpaceDE w:val="0"/>
        <w:autoSpaceDN w:val="0"/>
        <w:adjustRightInd w:val="0"/>
        <w:spacing w:after="0" w:line="240" w:lineRule="auto"/>
        <w:rPr>
          <w:rFonts w:eastAsia="AvenirLTPro-Heavy" w:cs="AvenirLTPro-Heavy"/>
        </w:rPr>
      </w:pPr>
      <w:r>
        <w:rPr>
          <w:rFonts w:eastAsia="AvenirLTPro-Heavy" w:cs="AvenirLTPro-Heavy"/>
        </w:rPr>
        <w:t>Technické data:</w:t>
      </w:r>
      <w:r w:rsidRPr="009D2CB5">
        <w:rPr>
          <w:rFonts w:eastAsia="AvenirLTPro-Heavy" w:cs="AvenirLTPro-Heavy"/>
        </w:rPr>
        <w:br/>
      </w:r>
    </w:p>
    <w:p w:rsidR="00034303" w:rsidRDefault="002216BC" w:rsidP="002216BC">
      <w:pPr>
        <w:autoSpaceDE w:val="0"/>
        <w:autoSpaceDN w:val="0"/>
        <w:adjustRightInd w:val="0"/>
        <w:spacing w:after="0" w:line="240" w:lineRule="auto"/>
        <w:rPr>
          <w:rFonts w:eastAsia="AvenirLTPro-Light" w:cs="AvenirLTPro-Light"/>
        </w:rPr>
      </w:pPr>
      <w:r w:rsidRPr="009D2CB5">
        <w:rPr>
          <w:rFonts w:eastAsia="AvenirLTPro-Light" w:cs="AvenirLTPro-Light"/>
        </w:rPr>
        <w:t>Model:</w:t>
      </w:r>
      <w:r>
        <w:rPr>
          <w:rFonts w:eastAsia="AvenirLTPro-Light" w:cs="AvenirLTPro-Light"/>
        </w:rPr>
        <w:t>…………………………………………………………………</w:t>
      </w:r>
      <w:proofErr w:type="gramStart"/>
      <w:r>
        <w:rPr>
          <w:rFonts w:eastAsia="AvenirLTPro-Light" w:cs="AvenirLTPro-Light"/>
        </w:rPr>
        <w:t>…..</w:t>
      </w:r>
      <w:proofErr w:type="gramEnd"/>
      <w:r w:rsidRPr="009D2CB5">
        <w:rPr>
          <w:rFonts w:eastAsia="AvenirLTPro-Light" w:cs="AvenirLTPro-Light"/>
        </w:rPr>
        <w:t xml:space="preserve"> </w:t>
      </w:r>
      <w:r w:rsidR="00AE4D4C">
        <w:rPr>
          <w:rFonts w:eastAsia="AvenirLTPro-Light" w:cs="AvenirLTPro-Light"/>
        </w:rPr>
        <w:t xml:space="preserve">EZS </w:t>
      </w:r>
      <w:r w:rsidR="00034303">
        <w:rPr>
          <w:rFonts w:eastAsia="AvenirLTPro-Light" w:cs="AvenirLTPro-Light"/>
        </w:rPr>
        <w:t>3000</w:t>
      </w:r>
    </w:p>
    <w:p w:rsidR="00034303" w:rsidRPr="009D2CB5" w:rsidRDefault="00034303" w:rsidP="002216BC">
      <w:pPr>
        <w:autoSpaceDE w:val="0"/>
        <w:autoSpaceDN w:val="0"/>
        <w:adjustRightInd w:val="0"/>
        <w:spacing w:after="0" w:line="240" w:lineRule="auto"/>
        <w:rPr>
          <w:rFonts w:eastAsia="AvenirLTPro-Light" w:cs="AvenirLTPro-Light"/>
        </w:rPr>
      </w:pPr>
      <w:r>
        <w:rPr>
          <w:rFonts w:eastAsia="AvenirLTPro-Light" w:cs="AvenirLTPro-Light"/>
        </w:rPr>
        <w:t>Ochrana:…………………………………………………………………. IPX5</w:t>
      </w:r>
    </w:p>
    <w:p w:rsidR="00193E46" w:rsidRDefault="00193E46" w:rsidP="002216BC">
      <w:pPr>
        <w:autoSpaceDE w:val="0"/>
        <w:autoSpaceDN w:val="0"/>
        <w:adjustRightInd w:val="0"/>
        <w:spacing w:after="0" w:line="240" w:lineRule="auto"/>
        <w:rPr>
          <w:rFonts w:eastAsia="AvenirLTPro-Light" w:cs="AvenirLTPro-Light"/>
        </w:rPr>
      </w:pPr>
      <w:r>
        <w:rPr>
          <w:rFonts w:eastAsia="AvenirLTPro-Light" w:cs="AvenirLTPro-Light"/>
        </w:rPr>
        <w:t>Hmotnost:………</w:t>
      </w:r>
      <w:r w:rsidR="00AE4D4C">
        <w:rPr>
          <w:rFonts w:eastAsia="AvenirLTPro-Light" w:cs="AvenirLTPro-Light"/>
        </w:rPr>
        <w:t xml:space="preserve">…………………………………………………………. </w:t>
      </w:r>
      <w:proofErr w:type="gramStart"/>
      <w:r w:rsidR="00AE4D4C">
        <w:rPr>
          <w:rFonts w:eastAsia="AvenirLTPro-Light" w:cs="AvenirLTPro-Light"/>
        </w:rPr>
        <w:t>cca</w:t>
      </w:r>
      <w:proofErr w:type="gramEnd"/>
      <w:r w:rsidR="00AE4D4C">
        <w:rPr>
          <w:rFonts w:eastAsia="AvenirLTPro-Light" w:cs="AvenirLTPro-Light"/>
        </w:rPr>
        <w:t xml:space="preserve"> </w:t>
      </w:r>
      <w:r w:rsidR="00034303">
        <w:rPr>
          <w:rFonts w:eastAsia="AvenirLTPro-Light" w:cs="AvenirLTPro-Light"/>
        </w:rPr>
        <w:t>21g</w:t>
      </w:r>
      <w:r w:rsidRPr="009D2CB5">
        <w:rPr>
          <w:rFonts w:eastAsia="AvenirLTPro-Light" w:cs="AvenirLTPro-Light"/>
        </w:rPr>
        <w:t xml:space="preserve"> </w:t>
      </w:r>
    </w:p>
    <w:p w:rsidR="00193E46" w:rsidRDefault="00193E46" w:rsidP="00193E46">
      <w:pPr>
        <w:autoSpaceDE w:val="0"/>
        <w:autoSpaceDN w:val="0"/>
        <w:adjustRightInd w:val="0"/>
        <w:spacing w:after="0" w:line="240" w:lineRule="auto"/>
        <w:rPr>
          <w:rFonts w:eastAsia="AvenirLTPro-Light" w:cs="AvenirLTPro-Light"/>
        </w:rPr>
      </w:pPr>
      <w:r>
        <w:rPr>
          <w:rFonts w:eastAsia="AvenirLTPro-Light" w:cs="AvenirLTPro-Light"/>
        </w:rPr>
        <w:t>Baterie:……………………………………………………………………</w:t>
      </w:r>
      <w:proofErr w:type="gramStart"/>
      <w:r>
        <w:rPr>
          <w:rFonts w:eastAsia="AvenirLTPro-Light" w:cs="AvenirLTPro-Light"/>
        </w:rPr>
        <w:t>….</w:t>
      </w:r>
      <w:r w:rsidR="00034303">
        <w:rPr>
          <w:rFonts w:eastAsia="AvenirLTPro-Light" w:cs="AvenirLTPro-Light"/>
        </w:rPr>
        <w:t>1 x 1,5</w:t>
      </w:r>
      <w:proofErr w:type="gramEnd"/>
      <w:r w:rsidR="00034303">
        <w:rPr>
          <w:rFonts w:eastAsia="AvenirLTPro-Light" w:cs="AvenirLTPro-Light"/>
        </w:rPr>
        <w:t xml:space="preserve"> V Typ AAA/R03</w:t>
      </w:r>
      <w:r>
        <w:rPr>
          <w:rFonts w:eastAsia="AvenirLTPro-Light" w:cs="AvenirLTPro-Light"/>
        </w:rPr>
        <w:br/>
      </w:r>
    </w:p>
    <w:p w:rsidR="00193E46" w:rsidRDefault="00193E46" w:rsidP="00193E46">
      <w:pPr>
        <w:autoSpaceDE w:val="0"/>
        <w:autoSpaceDN w:val="0"/>
        <w:adjustRightInd w:val="0"/>
        <w:spacing w:after="0" w:line="240" w:lineRule="auto"/>
        <w:rPr>
          <w:rFonts w:eastAsia="AvenirLTPro-Light" w:cs="AvenirLTPro-Light"/>
        </w:rPr>
      </w:pPr>
    </w:p>
    <w:p w:rsidR="00193E46" w:rsidRPr="00EA776F" w:rsidRDefault="00193E46" w:rsidP="00193E46">
      <w:pPr>
        <w:autoSpaceDE w:val="0"/>
        <w:autoSpaceDN w:val="0"/>
        <w:adjustRightInd w:val="0"/>
        <w:spacing w:after="0" w:line="240" w:lineRule="auto"/>
        <w:rPr>
          <w:rFonts w:cs="PragmaticaE"/>
          <w:color w:val="000000"/>
          <w:sz w:val="20"/>
          <w:szCs w:val="20"/>
        </w:rPr>
      </w:pPr>
      <w:r w:rsidRPr="00EA776F">
        <w:rPr>
          <w:rFonts w:cs="PragmaticaE"/>
          <w:color w:val="000000"/>
          <w:sz w:val="20"/>
          <w:szCs w:val="20"/>
        </w:rPr>
        <w:t>Tento přístroj byl testován podle všech příslušných, v současné době platných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směrnic CE, jako je např. elektromagnetická kompatibilita a direktiva o nízkonapěťové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bezpečnosti, a byl zkonstruován podle nejnovějších bezpečnostně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technických</w:t>
      </w:r>
    </w:p>
    <w:p w:rsidR="00193E46" w:rsidRPr="00EA776F" w:rsidRDefault="00193E46" w:rsidP="00193E46">
      <w:pPr>
        <w:autoSpaceDE w:val="0"/>
        <w:autoSpaceDN w:val="0"/>
        <w:adjustRightInd w:val="0"/>
        <w:spacing w:after="0" w:line="240" w:lineRule="auto"/>
        <w:rPr>
          <w:rFonts w:cs="PragmaticaE"/>
          <w:color w:val="000000"/>
          <w:sz w:val="20"/>
          <w:szCs w:val="20"/>
        </w:rPr>
      </w:pPr>
      <w:r w:rsidRPr="00EA776F">
        <w:rPr>
          <w:rFonts w:cs="PragmaticaE"/>
          <w:color w:val="000000"/>
          <w:sz w:val="20"/>
          <w:szCs w:val="20"/>
        </w:rPr>
        <w:t>předpisů.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Vyhrazujeme si technické změny!</w:t>
      </w:r>
    </w:p>
    <w:p w:rsidR="00193E46" w:rsidRPr="00EA776F" w:rsidRDefault="00193E46" w:rsidP="00193E46">
      <w:pPr>
        <w:autoSpaceDE w:val="0"/>
        <w:autoSpaceDN w:val="0"/>
        <w:adjustRightInd w:val="0"/>
        <w:spacing w:after="0" w:line="240" w:lineRule="auto"/>
        <w:rPr>
          <w:rFonts w:cs="Helvetica-Condensed-Black"/>
          <w:b/>
          <w:bCs/>
          <w:color w:val="FFFFFF"/>
          <w:sz w:val="20"/>
          <w:szCs w:val="20"/>
        </w:rPr>
      </w:pPr>
      <w:r w:rsidRPr="00EA776F">
        <w:rPr>
          <w:rFonts w:cs="Helvetica-Condensed-Black"/>
          <w:b/>
          <w:bCs/>
          <w:color w:val="FFFFFF"/>
          <w:sz w:val="20"/>
          <w:szCs w:val="20"/>
        </w:rPr>
        <w:t>CZ</w:t>
      </w:r>
    </w:p>
    <w:p w:rsidR="00193E46" w:rsidRPr="00EA776F" w:rsidRDefault="00193E46" w:rsidP="00193E46">
      <w:pPr>
        <w:autoSpaceDE w:val="0"/>
        <w:autoSpaceDN w:val="0"/>
        <w:adjustRightInd w:val="0"/>
        <w:spacing w:after="0" w:line="240" w:lineRule="auto"/>
        <w:rPr>
          <w:rFonts w:cs="PragmaticaE-Bold"/>
          <w:b/>
          <w:bCs/>
          <w:color w:val="000000"/>
          <w:sz w:val="20"/>
          <w:szCs w:val="20"/>
        </w:rPr>
      </w:pPr>
      <w:r w:rsidRPr="00EA776F">
        <w:rPr>
          <w:rFonts w:cs="PragmaticaE-Bold"/>
          <w:b/>
          <w:bCs/>
          <w:color w:val="000000"/>
          <w:sz w:val="20"/>
          <w:szCs w:val="20"/>
        </w:rPr>
        <w:t>Záruka</w:t>
      </w:r>
    </w:p>
    <w:p w:rsidR="00193E46" w:rsidRPr="00EA776F" w:rsidRDefault="00193E46" w:rsidP="00193E46">
      <w:pPr>
        <w:autoSpaceDE w:val="0"/>
        <w:autoSpaceDN w:val="0"/>
        <w:adjustRightInd w:val="0"/>
        <w:spacing w:after="0" w:line="240" w:lineRule="auto"/>
        <w:rPr>
          <w:rFonts w:cs="PragmaticaE"/>
          <w:color w:val="000000"/>
          <w:sz w:val="20"/>
          <w:szCs w:val="20"/>
        </w:rPr>
      </w:pPr>
      <w:r w:rsidRPr="00EA776F">
        <w:rPr>
          <w:rFonts w:cs="PragmaticaE"/>
          <w:color w:val="000000"/>
          <w:sz w:val="20"/>
          <w:szCs w:val="20"/>
        </w:rPr>
        <w:t>Na námi prodaný přístroj poskytujeme záruku v trvání 24 měsíců od data prodeje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(pokladní doklad).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Během záruční lhůty odstraníme bezplatně všechny vady přístroje nebo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příslušenství*), které vzniknou v důsledku vad materiálu nebo výrobních vad, a to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opravou nebo, podle našeho uvážení, formou výměny. Záruční plnění nemají za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 xml:space="preserve">následek ani prodloužení záruční doby </w:t>
      </w:r>
      <w:r w:rsidRPr="00EA776F">
        <w:rPr>
          <w:rFonts w:cs="PragmaticaE"/>
          <w:color w:val="000000"/>
          <w:sz w:val="20"/>
          <w:szCs w:val="20"/>
        </w:rPr>
        <w:lastRenderedPageBreak/>
        <w:t>ani tím nevzniká nárok na novou záruku!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Jako záruční doklad slouží doklad o koupi. Bez tohoto dokladu nelze uskutečnit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bezplatnou výměnu nebo bezplatnou opravu.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V případě uplatnění záruky předejte, prosím, kompletní přístroj v</w:t>
      </w:r>
      <w:r>
        <w:rPr>
          <w:rFonts w:cs="PragmaticaE"/>
          <w:color w:val="000000"/>
          <w:sz w:val="20"/>
          <w:szCs w:val="20"/>
        </w:rPr>
        <w:t> </w:t>
      </w:r>
      <w:r w:rsidRPr="00EA776F">
        <w:rPr>
          <w:rFonts w:cs="PragmaticaE"/>
          <w:color w:val="000000"/>
          <w:sz w:val="20"/>
          <w:szCs w:val="20"/>
        </w:rPr>
        <w:t>originálním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obalu spolu s pokladním dokladem Vašemu obchodníkovi.</w:t>
      </w:r>
    </w:p>
    <w:p w:rsidR="00193E46" w:rsidRPr="00EA776F" w:rsidRDefault="00193E46" w:rsidP="00193E46">
      <w:pPr>
        <w:autoSpaceDE w:val="0"/>
        <w:autoSpaceDN w:val="0"/>
        <w:adjustRightInd w:val="0"/>
        <w:spacing w:after="0" w:line="240" w:lineRule="auto"/>
        <w:rPr>
          <w:rFonts w:cs="PragmaticaE"/>
          <w:color w:val="000000"/>
          <w:sz w:val="20"/>
          <w:szCs w:val="20"/>
        </w:rPr>
      </w:pPr>
      <w:r w:rsidRPr="00EA776F">
        <w:rPr>
          <w:rFonts w:cs="PragmaticaE"/>
          <w:color w:val="000000"/>
          <w:sz w:val="20"/>
          <w:szCs w:val="20"/>
        </w:rPr>
        <w:t>*) Poškození příslušenství není automaticky důvodem pro bezplatnou výměnu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kompletního přístroje. V takovém případě se obraťte na naši Hotline! Prasklé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skleněné resp. plastové díly zásadně podléhají povinnosti úhrady!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Jak na vady na spotřebním příslušenství, resp. dílech podléhajících rychlému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opotřebení (např. uhlíky motoru, hnětací háky, hnací řemeny, náhradní dálkové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ovládání, náhradní zubní kartáčky, pilové listy atd.), tak i na čištění, údržbu nebo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výměnu dílů podléhajících rychlému opotřebení se záruka nevztahuje a je proto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nutno je uhradit!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Záruka zaniká v případě, že dojde k zásahu neautorizovanou osobou.</w:t>
      </w:r>
    </w:p>
    <w:p w:rsidR="00193E46" w:rsidRPr="00EA776F" w:rsidRDefault="00193E46" w:rsidP="00193E46">
      <w:pPr>
        <w:autoSpaceDE w:val="0"/>
        <w:autoSpaceDN w:val="0"/>
        <w:adjustRightInd w:val="0"/>
        <w:spacing w:after="0" w:line="240" w:lineRule="auto"/>
        <w:rPr>
          <w:rFonts w:cs="PragmaticaE-Bold"/>
          <w:b/>
          <w:bCs/>
          <w:color w:val="000000"/>
          <w:sz w:val="20"/>
          <w:szCs w:val="20"/>
        </w:rPr>
      </w:pPr>
      <w:r w:rsidRPr="00EA776F">
        <w:rPr>
          <w:rFonts w:cs="PragmaticaE-Bold"/>
          <w:b/>
          <w:bCs/>
          <w:color w:val="000000"/>
          <w:sz w:val="20"/>
          <w:szCs w:val="20"/>
        </w:rPr>
        <w:t>Po uplynutí záruky</w:t>
      </w:r>
    </w:p>
    <w:p w:rsidR="00193E46" w:rsidRPr="00EA776F" w:rsidRDefault="00193E46" w:rsidP="00193E46">
      <w:pPr>
        <w:autoSpaceDE w:val="0"/>
        <w:autoSpaceDN w:val="0"/>
        <w:adjustRightInd w:val="0"/>
        <w:spacing w:after="0" w:line="240" w:lineRule="auto"/>
        <w:rPr>
          <w:rFonts w:cs="PragmaticaE"/>
          <w:color w:val="000000"/>
          <w:sz w:val="20"/>
          <w:szCs w:val="20"/>
        </w:rPr>
      </w:pPr>
      <w:r w:rsidRPr="00EA776F">
        <w:rPr>
          <w:rFonts w:cs="PragmaticaE"/>
          <w:color w:val="000000"/>
          <w:sz w:val="20"/>
          <w:szCs w:val="20"/>
        </w:rPr>
        <w:t>Po uplynutí záruční doby je možno za úplatu provést opravy v</w:t>
      </w:r>
      <w:r>
        <w:rPr>
          <w:rFonts w:cs="PragmaticaE"/>
          <w:color w:val="000000"/>
          <w:sz w:val="20"/>
          <w:szCs w:val="20"/>
        </w:rPr>
        <w:t> </w:t>
      </w:r>
      <w:r w:rsidRPr="00EA776F">
        <w:rPr>
          <w:rFonts w:cs="PragmaticaE"/>
          <w:color w:val="000000"/>
          <w:sz w:val="20"/>
          <w:szCs w:val="20"/>
        </w:rPr>
        <w:t>příslušném</w:t>
      </w:r>
      <w:r>
        <w:rPr>
          <w:rFonts w:cs="PragmaticaE"/>
          <w:color w:val="000000"/>
          <w:sz w:val="20"/>
          <w:szCs w:val="20"/>
        </w:rPr>
        <w:t xml:space="preserve"> </w:t>
      </w:r>
      <w:r w:rsidRPr="00EA776F">
        <w:rPr>
          <w:rFonts w:cs="PragmaticaE"/>
          <w:color w:val="000000"/>
          <w:sz w:val="20"/>
          <w:szCs w:val="20"/>
        </w:rPr>
        <w:t>odborném obchodě nebo opravně.</w:t>
      </w:r>
    </w:p>
    <w:p w:rsidR="00193E46" w:rsidRPr="009D2CB5" w:rsidRDefault="00193E46" w:rsidP="00193E46">
      <w:pPr>
        <w:autoSpaceDE w:val="0"/>
        <w:autoSpaceDN w:val="0"/>
        <w:adjustRightInd w:val="0"/>
        <w:spacing w:after="0" w:line="240" w:lineRule="auto"/>
        <w:rPr>
          <w:rFonts w:eastAsia="AvenirLTPro-Light" w:cs="AvenirLTPro-Light"/>
        </w:rPr>
      </w:pPr>
    </w:p>
    <w:p w:rsidR="002216BC" w:rsidRDefault="00193E46" w:rsidP="002216BC">
      <w:pPr>
        <w:rPr>
          <w:rFonts w:eastAsia="AvenirLTPro-Light" w:cs="AvenirLTPro-Light"/>
        </w:rPr>
      </w:pPr>
      <w:r>
        <w:rPr>
          <w:rFonts w:eastAsia="AvenirLTPro-Light" w:cs="AvenirLTPro-Light"/>
        </w:rPr>
        <w:br/>
      </w:r>
    </w:p>
    <w:p w:rsidR="00A311AB" w:rsidRPr="002216BC" w:rsidRDefault="00A311AB" w:rsidP="006B6BBE">
      <w:pPr>
        <w:rPr>
          <w:sz w:val="20"/>
          <w:szCs w:val="20"/>
        </w:rPr>
      </w:pPr>
    </w:p>
    <w:sectPr w:rsidR="00A311AB" w:rsidRPr="002216BC" w:rsidSect="007C7244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OT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ragmatica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enirLTPro-Heavy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venirLT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-Condensed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0FA"/>
    <w:multiLevelType w:val="hybridMultilevel"/>
    <w:tmpl w:val="F372FBE4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5A8210C"/>
    <w:multiLevelType w:val="hybridMultilevel"/>
    <w:tmpl w:val="05F4D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6452"/>
    <w:multiLevelType w:val="hybridMultilevel"/>
    <w:tmpl w:val="E550F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161A9"/>
    <w:multiLevelType w:val="hybridMultilevel"/>
    <w:tmpl w:val="99221D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B668E"/>
    <w:multiLevelType w:val="hybridMultilevel"/>
    <w:tmpl w:val="3E547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35F3"/>
    <w:multiLevelType w:val="hybridMultilevel"/>
    <w:tmpl w:val="D2246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B17F7"/>
    <w:multiLevelType w:val="hybridMultilevel"/>
    <w:tmpl w:val="0344B1E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8E3CA1"/>
    <w:multiLevelType w:val="hybridMultilevel"/>
    <w:tmpl w:val="49A83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C71DA"/>
    <w:multiLevelType w:val="hybridMultilevel"/>
    <w:tmpl w:val="36F6C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2059D"/>
    <w:multiLevelType w:val="hybridMultilevel"/>
    <w:tmpl w:val="15A80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B53DE"/>
    <w:multiLevelType w:val="hybridMultilevel"/>
    <w:tmpl w:val="42A07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102"/>
    <w:multiLevelType w:val="hybridMultilevel"/>
    <w:tmpl w:val="FE825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0D0AFC"/>
    <w:multiLevelType w:val="hybridMultilevel"/>
    <w:tmpl w:val="21DA1D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B5DA8"/>
    <w:multiLevelType w:val="hybridMultilevel"/>
    <w:tmpl w:val="9D1A6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C5B62"/>
    <w:multiLevelType w:val="hybridMultilevel"/>
    <w:tmpl w:val="13842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56C2A"/>
    <w:multiLevelType w:val="hybridMultilevel"/>
    <w:tmpl w:val="A880A7A4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849322C"/>
    <w:multiLevelType w:val="hybridMultilevel"/>
    <w:tmpl w:val="A134E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73D78"/>
    <w:multiLevelType w:val="hybridMultilevel"/>
    <w:tmpl w:val="EC7E3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D0E1C"/>
    <w:multiLevelType w:val="hybridMultilevel"/>
    <w:tmpl w:val="1A049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1773E"/>
    <w:multiLevelType w:val="hybridMultilevel"/>
    <w:tmpl w:val="B18E38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D04786"/>
    <w:multiLevelType w:val="hybridMultilevel"/>
    <w:tmpl w:val="4136F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C2F09"/>
    <w:multiLevelType w:val="hybridMultilevel"/>
    <w:tmpl w:val="31304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84D23"/>
    <w:multiLevelType w:val="hybridMultilevel"/>
    <w:tmpl w:val="0346C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"/>
  </w:num>
  <w:num w:numId="4">
    <w:abstractNumId w:val="7"/>
  </w:num>
  <w:num w:numId="5">
    <w:abstractNumId w:val="18"/>
  </w:num>
  <w:num w:numId="6">
    <w:abstractNumId w:val="5"/>
  </w:num>
  <w:num w:numId="7">
    <w:abstractNumId w:val="4"/>
  </w:num>
  <w:num w:numId="8">
    <w:abstractNumId w:val="20"/>
  </w:num>
  <w:num w:numId="9">
    <w:abstractNumId w:val="3"/>
  </w:num>
  <w:num w:numId="10">
    <w:abstractNumId w:val="11"/>
  </w:num>
  <w:num w:numId="11">
    <w:abstractNumId w:val="8"/>
  </w:num>
  <w:num w:numId="12">
    <w:abstractNumId w:val="16"/>
  </w:num>
  <w:num w:numId="13">
    <w:abstractNumId w:val="19"/>
  </w:num>
  <w:num w:numId="14">
    <w:abstractNumId w:val="12"/>
  </w:num>
  <w:num w:numId="15">
    <w:abstractNumId w:val="10"/>
  </w:num>
  <w:num w:numId="16">
    <w:abstractNumId w:val="17"/>
  </w:num>
  <w:num w:numId="17">
    <w:abstractNumId w:val="0"/>
  </w:num>
  <w:num w:numId="18">
    <w:abstractNumId w:val="13"/>
  </w:num>
  <w:num w:numId="19">
    <w:abstractNumId w:val="15"/>
  </w:num>
  <w:num w:numId="20">
    <w:abstractNumId w:val="6"/>
  </w:num>
  <w:num w:numId="21">
    <w:abstractNumId w:val="9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44"/>
    <w:rsid w:val="00031052"/>
    <w:rsid w:val="00034303"/>
    <w:rsid w:val="00080F53"/>
    <w:rsid w:val="00133972"/>
    <w:rsid w:val="001446B0"/>
    <w:rsid w:val="00156A3A"/>
    <w:rsid w:val="00193E46"/>
    <w:rsid w:val="0019795A"/>
    <w:rsid w:val="001C3E48"/>
    <w:rsid w:val="001D2C58"/>
    <w:rsid w:val="002216BC"/>
    <w:rsid w:val="002A08B5"/>
    <w:rsid w:val="00346814"/>
    <w:rsid w:val="00380E43"/>
    <w:rsid w:val="00397217"/>
    <w:rsid w:val="003A4B98"/>
    <w:rsid w:val="003A5C33"/>
    <w:rsid w:val="003B14DC"/>
    <w:rsid w:val="004321A3"/>
    <w:rsid w:val="00471AD5"/>
    <w:rsid w:val="00480CE7"/>
    <w:rsid w:val="004F7722"/>
    <w:rsid w:val="0059228C"/>
    <w:rsid w:val="005C01F9"/>
    <w:rsid w:val="006142B0"/>
    <w:rsid w:val="00661BF2"/>
    <w:rsid w:val="006B6BBE"/>
    <w:rsid w:val="006B7AA3"/>
    <w:rsid w:val="006D6AA0"/>
    <w:rsid w:val="006F1C0D"/>
    <w:rsid w:val="006F673D"/>
    <w:rsid w:val="007250E3"/>
    <w:rsid w:val="00735CC1"/>
    <w:rsid w:val="00772FA8"/>
    <w:rsid w:val="007C7244"/>
    <w:rsid w:val="007D40D2"/>
    <w:rsid w:val="00826A35"/>
    <w:rsid w:val="00892F44"/>
    <w:rsid w:val="008E6592"/>
    <w:rsid w:val="009D2CB5"/>
    <w:rsid w:val="009E098E"/>
    <w:rsid w:val="009F722B"/>
    <w:rsid w:val="00A2454C"/>
    <w:rsid w:val="00A311AB"/>
    <w:rsid w:val="00A56931"/>
    <w:rsid w:val="00A66033"/>
    <w:rsid w:val="00A676D4"/>
    <w:rsid w:val="00A9372C"/>
    <w:rsid w:val="00AC7BE3"/>
    <w:rsid w:val="00AE0C27"/>
    <w:rsid w:val="00AE4D4C"/>
    <w:rsid w:val="00B777D9"/>
    <w:rsid w:val="00C074F1"/>
    <w:rsid w:val="00C30EE0"/>
    <w:rsid w:val="00C51E1C"/>
    <w:rsid w:val="00C9406E"/>
    <w:rsid w:val="00CB09E3"/>
    <w:rsid w:val="00CF0E65"/>
    <w:rsid w:val="00DD2197"/>
    <w:rsid w:val="00E93AD1"/>
    <w:rsid w:val="00EA776F"/>
    <w:rsid w:val="00ED32C6"/>
    <w:rsid w:val="00F04EBB"/>
    <w:rsid w:val="00F926C6"/>
    <w:rsid w:val="00F93480"/>
    <w:rsid w:val="00F95296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6A2F7-6CFB-4A83-953F-9D395BBF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A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7C7244"/>
    <w:pPr>
      <w:shd w:val="clear" w:color="auto" w:fill="000000"/>
      <w:spacing w:before="60" w:after="60" w:line="240" w:lineRule="auto"/>
      <w:jc w:val="center"/>
    </w:pPr>
    <w:rPr>
      <w:rFonts w:ascii="Tahoma" w:eastAsia="Times New Roman" w:hAnsi="Tahoma" w:cs="Times New Roman"/>
      <w:b/>
      <w:caps/>
      <w:sz w:val="32"/>
      <w:szCs w:val="24"/>
      <w:lang w:eastAsia="cs-CZ"/>
    </w:rPr>
  </w:style>
  <w:style w:type="paragraph" w:customStyle="1" w:styleId="Default">
    <w:name w:val="Default"/>
    <w:rsid w:val="00F926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6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1BF2"/>
    <w:pPr>
      <w:ind w:left="720"/>
      <w:contextualSpacing/>
    </w:pPr>
  </w:style>
  <w:style w:type="paragraph" w:styleId="Bezmezer">
    <w:name w:val="No Spacing"/>
    <w:uiPriority w:val="1"/>
    <w:qFormat/>
    <w:rsid w:val="004F7722"/>
    <w:pPr>
      <w:spacing w:after="0" w:line="240" w:lineRule="auto"/>
    </w:pPr>
  </w:style>
  <w:style w:type="table" w:styleId="Mkatabulky">
    <w:name w:val="Table Grid"/>
    <w:basedOn w:val="Normlntabulka"/>
    <w:uiPriority w:val="59"/>
    <w:rsid w:val="00DD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Schrehardt DTC</dc:creator>
  <cp:lastModifiedBy>Sklad</cp:lastModifiedBy>
  <cp:revision>4</cp:revision>
  <cp:lastPrinted>2018-06-06T12:40:00Z</cp:lastPrinted>
  <dcterms:created xsi:type="dcterms:W3CDTF">2018-03-21T16:51:00Z</dcterms:created>
  <dcterms:modified xsi:type="dcterms:W3CDTF">2018-06-06T12:42:00Z</dcterms:modified>
</cp:coreProperties>
</file>